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4009" w14:textId="77777777" w:rsidR="00D631B5" w:rsidRDefault="00000000">
      <w:pPr>
        <w:pStyle w:val="Standard"/>
        <w:spacing w:after="120" w:line="360" w:lineRule="exact"/>
        <w:ind w:left="1757" w:hanging="2041"/>
        <w:jc w:val="center"/>
        <w:rPr>
          <w:rFonts w:hint="eastAsia"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</w:rPr>
        <w:t xml:space="preserve"> 附表</w:t>
      </w:r>
      <w:r>
        <w:rPr>
          <w:rFonts w:ascii="Times New Roman" w:eastAsia="標楷體" w:hAnsi="Times New Roman" w:cs="Times New Roman"/>
        </w:rPr>
        <w:t>1</w:t>
      </w:r>
    </w:p>
    <w:p w14:paraId="047477AF" w14:textId="77777777" w:rsidR="00D631B5" w:rsidRDefault="00000000">
      <w:pPr>
        <w:pStyle w:val="StandardWW"/>
        <w:tabs>
          <w:tab w:val="left" w:pos="5405"/>
        </w:tabs>
        <w:snapToGrid w:val="0"/>
        <w:spacing w:after="120" w:line="460" w:lineRule="exact"/>
        <w:ind w:left="2523" w:right="-1020" w:hanging="2523"/>
        <w:jc w:val="center"/>
      </w:pPr>
      <w:r>
        <w:rPr>
          <w:rFonts w:eastAsia="標楷體"/>
          <w:b/>
          <w:bCs/>
          <w:sz w:val="36"/>
          <w:szCs w:val="36"/>
        </w:rPr>
        <w:t>僑務委員會「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年臺灣美食國際巡迴講座」</w:t>
      </w:r>
      <w:r>
        <w:rPr>
          <w:rFonts w:eastAsia="標楷體"/>
          <w:b/>
          <w:bCs/>
          <w:spacing w:val="30"/>
          <w:sz w:val="36"/>
          <w:szCs w:val="36"/>
          <w:u w:val="single"/>
        </w:rPr>
        <w:t>辦理申請表</w:t>
      </w:r>
    </w:p>
    <w:tbl>
      <w:tblPr>
        <w:tblW w:w="104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3401"/>
        <w:gridCol w:w="1561"/>
        <w:gridCol w:w="3222"/>
      </w:tblGrid>
      <w:tr w:rsidR="00D631B5" w14:paraId="5FA47784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22F5" w14:textId="77777777" w:rsidR="00D631B5" w:rsidRDefault="00000000">
            <w:pPr>
              <w:pStyle w:val="StandardWW"/>
              <w:snapToGrid w:val="0"/>
              <w:ind w:right="120"/>
              <w:jc w:val="center"/>
            </w:pPr>
            <w:r>
              <w:rPr>
                <w:rFonts w:eastAsia="標楷體"/>
                <w:sz w:val="28"/>
              </w:rPr>
              <w:t>輔導單位</w:t>
            </w:r>
          </w:p>
        </w:tc>
        <w:tc>
          <w:tcPr>
            <w:tcW w:w="81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D531" w14:textId="77777777" w:rsidR="00D631B5" w:rsidRDefault="00000000">
            <w:pPr>
              <w:pStyle w:val="StandardWW"/>
              <w:spacing w:line="440" w:lineRule="exact"/>
              <w:jc w:val="right"/>
            </w:pPr>
            <w:r>
              <w:rPr>
                <w:rFonts w:eastAsia="標楷體"/>
                <w:color w:val="FF0000"/>
                <w:kern w:val="0"/>
                <w:szCs w:val="28"/>
              </w:rPr>
              <w:t>（駐外館處）</w:t>
            </w:r>
          </w:p>
        </w:tc>
      </w:tr>
      <w:tr w:rsidR="00D631B5" w14:paraId="61C2DB3D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F510" w14:textId="77777777" w:rsidR="00D631B5" w:rsidRDefault="00000000">
            <w:pPr>
              <w:pStyle w:val="StandardWW"/>
              <w:snapToGrid w:val="0"/>
              <w:ind w:right="120"/>
              <w:jc w:val="center"/>
            </w:pPr>
            <w:r>
              <w:rPr>
                <w:rFonts w:eastAsia="標楷體"/>
                <w:sz w:val="28"/>
              </w:rPr>
              <w:t>辦理國家地區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5183" w14:textId="77777777" w:rsidR="00D631B5" w:rsidRDefault="00D631B5">
            <w:pPr>
              <w:pStyle w:val="StandardWW"/>
              <w:spacing w:line="440" w:lineRule="exact"/>
              <w:jc w:val="center"/>
              <w:rPr>
                <w:rFonts w:eastAsia="標楷體"/>
                <w:color w:val="FF0000"/>
                <w:kern w:val="0"/>
                <w:szCs w:val="28"/>
              </w:rPr>
            </w:pPr>
          </w:p>
        </w:tc>
      </w:tr>
      <w:tr w:rsidR="00D631B5" w14:paraId="7AC4920F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AC66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pacing w:val="-2"/>
                <w:sz w:val="28"/>
              </w:rPr>
              <w:t>辦理僑團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747C" w14:textId="77777777" w:rsidR="00D631B5" w:rsidRDefault="00000000">
            <w:pPr>
              <w:pStyle w:val="StandardWW"/>
              <w:spacing w:line="440" w:lineRule="exact"/>
              <w:ind w:left="280" w:hanging="280"/>
              <w:jc w:val="right"/>
            </w:pPr>
            <w:r>
              <w:rPr>
                <w:rFonts w:eastAsia="標楷體"/>
                <w:color w:val="FF0000"/>
                <w:kern w:val="0"/>
                <w:szCs w:val="28"/>
              </w:rPr>
              <w:t>（不同僑團請分開填列）</w:t>
            </w:r>
          </w:p>
        </w:tc>
      </w:tr>
      <w:tr w:rsidR="00D631B5" w14:paraId="709E1BC7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418F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pacing w:val="-2"/>
                <w:sz w:val="28"/>
              </w:rPr>
              <w:t>前後站銜接建議</w:t>
            </w:r>
          </w:p>
          <w:p w14:paraId="23F3EB62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pacing w:val="-2"/>
                <w:sz w:val="28"/>
              </w:rPr>
              <w:t>交通方式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DFAC" w14:textId="77777777" w:rsidR="00D631B5" w:rsidRDefault="00D631B5">
            <w:pPr>
              <w:pStyle w:val="StandardWW"/>
              <w:spacing w:line="440" w:lineRule="exact"/>
              <w:ind w:left="280" w:hanging="280"/>
              <w:jc w:val="right"/>
              <w:rPr>
                <w:rFonts w:eastAsia="標楷體"/>
                <w:color w:val="FF0000"/>
                <w:kern w:val="0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D26B7DB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pacing w:val="-2"/>
                <w:sz w:val="28"/>
              </w:rPr>
              <w:t>抵離機場</w:t>
            </w:r>
            <w:r>
              <w:rPr>
                <w:rFonts w:eastAsia="標楷體"/>
                <w:spacing w:val="-2"/>
                <w:sz w:val="28"/>
              </w:rPr>
              <w:t>/</w:t>
            </w:r>
          </w:p>
          <w:p w14:paraId="41681564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pacing w:val="-2"/>
                <w:sz w:val="28"/>
              </w:rPr>
              <w:t>建議航班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51096615" w14:textId="77777777" w:rsidR="00D631B5" w:rsidRDefault="00D631B5">
            <w:pPr>
              <w:pStyle w:val="StandardWW"/>
              <w:spacing w:line="440" w:lineRule="exact"/>
              <w:ind w:left="280" w:hanging="280"/>
              <w:jc w:val="right"/>
              <w:rPr>
                <w:rFonts w:eastAsia="標楷體"/>
                <w:color w:val="FF0000"/>
                <w:kern w:val="0"/>
                <w:szCs w:val="28"/>
              </w:rPr>
            </w:pPr>
          </w:p>
        </w:tc>
      </w:tr>
      <w:tr w:rsidR="00D631B5" w14:paraId="34128EE8" w14:textId="77777777">
        <w:tblPrEx>
          <w:tblCellMar>
            <w:top w:w="0" w:type="dxa"/>
            <w:bottom w:w="0" w:type="dxa"/>
          </w:tblCellMar>
        </w:tblPrEx>
        <w:trPr>
          <w:cantSplit/>
          <w:trHeight w:val="1393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8D90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z w:val="28"/>
              </w:rPr>
              <w:t>活動場次數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B949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＿＿＿</w:t>
            </w:r>
            <w:r>
              <w:rPr>
                <w:rFonts w:eastAsia="標楷體"/>
                <w:sz w:val="28"/>
              </w:rPr>
              <w:t>場次</w:t>
            </w:r>
          </w:p>
          <w:p w14:paraId="33A3F59E" w14:textId="77777777" w:rsidR="00D631B5" w:rsidRDefault="00000000">
            <w:pPr>
              <w:pStyle w:val="StandardWW"/>
              <w:spacing w:line="440" w:lineRule="exact"/>
              <w:ind w:left="144" w:right="226" w:hanging="144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  <w:u w:val="single"/>
              </w:rPr>
              <w:t>每場次時間上限為</w:t>
            </w:r>
            <w:r>
              <w:rPr>
                <w:rFonts w:eastAsia="標楷體"/>
                <w:color w:val="0000FF"/>
                <w:szCs w:val="18"/>
                <w:u w:val="single"/>
              </w:rPr>
              <w:t>4</w:t>
            </w:r>
            <w:r>
              <w:rPr>
                <w:rFonts w:eastAsia="標楷體"/>
                <w:color w:val="0000FF"/>
                <w:szCs w:val="18"/>
                <w:u w:val="single"/>
              </w:rPr>
              <w:t>小時</w:t>
            </w:r>
            <w:r>
              <w:rPr>
                <w:rFonts w:eastAsia="標楷體"/>
                <w:color w:val="0000FF"/>
                <w:szCs w:val="18"/>
              </w:rPr>
              <w:t>，自主廚開始示範烹調起算，備料及採買時間不計，活動時間超過者請區分上、下半場，以確保主廚教學及活動成效</w:t>
            </w:r>
          </w:p>
        </w:tc>
      </w:tr>
      <w:tr w:rsidR="00D631B5" w14:paraId="40797666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3252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z w:val="28"/>
              </w:rPr>
              <w:t>活動辦理形式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5E0A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</w:rPr>
              <w:t>臺灣美食廚藝示範教學</w:t>
            </w:r>
          </w:p>
          <w:p w14:paraId="20C86ED7" w14:textId="77777777" w:rsidR="00D631B5" w:rsidRDefault="00000000">
            <w:pPr>
              <w:pStyle w:val="StandardWW"/>
              <w:spacing w:line="440" w:lineRule="exact"/>
              <w:ind w:left="286" w:right="226" w:hanging="28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  <w:szCs w:val="32"/>
              </w:rPr>
              <w:t>□</w:t>
            </w:r>
            <w:r>
              <w:rPr>
                <w:rFonts w:eastAsia="標楷體"/>
                <w:color w:val="000000"/>
                <w:kern w:val="0"/>
                <w:sz w:val="28"/>
                <w:szCs w:val="32"/>
              </w:rPr>
              <w:t>諮商輔導僑營</w:t>
            </w:r>
            <w:r>
              <w:rPr>
                <w:rFonts w:eastAsia="標楷體"/>
                <w:kern w:val="0"/>
                <w:sz w:val="28"/>
                <w:szCs w:val="32"/>
              </w:rPr>
              <w:t>餐館</w:t>
            </w:r>
            <w:r>
              <w:rPr>
                <w:rFonts w:eastAsia="Times New Roman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標楷體"/>
                <w:kern w:val="0"/>
                <w:sz w:val="28"/>
                <w:szCs w:val="32"/>
              </w:rPr>
              <w:t>家</w:t>
            </w:r>
            <w:r>
              <w:rPr>
                <w:rFonts w:eastAsia="標楷體"/>
                <w:color w:val="FF0000"/>
                <w:kern w:val="0"/>
                <w:sz w:val="28"/>
                <w:szCs w:val="32"/>
              </w:rPr>
              <w:t>（本會不負擔主廚及主廚助理諮商輔導酬金，相關之費用由僑團自理）</w:t>
            </w:r>
          </w:p>
          <w:p w14:paraId="4450F357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□其他具示範教學事實之</w:t>
            </w:r>
            <w:r>
              <w:rPr>
                <w:rFonts w:ascii="標楷體" w:eastAsia="標楷體" w:hAnsi="標楷體" w:cs="標楷體"/>
                <w:kern w:val="0"/>
                <w:sz w:val="28"/>
                <w:u w:val="single"/>
              </w:rPr>
              <w:t>大型活動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：</w:t>
            </w:r>
          </w:p>
          <w:p w14:paraId="70942426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</w:rPr>
              <w:t>美食嘉年華、美食饗宴等</w:t>
            </w:r>
            <w:r>
              <w:rPr>
                <w:rFonts w:eastAsia="標楷體"/>
                <w:bCs/>
                <w:kern w:val="0"/>
                <w:sz w:val="28"/>
              </w:rPr>
              <w:t>邀請</w:t>
            </w:r>
            <w:r>
              <w:rPr>
                <w:rFonts w:eastAsia="標楷體"/>
                <w:kern w:val="0"/>
                <w:sz w:val="28"/>
              </w:rPr>
              <w:t>主流社會人士</w:t>
            </w:r>
            <w:r>
              <w:rPr>
                <w:rFonts w:eastAsia="標楷體"/>
                <w:kern w:val="0"/>
                <w:sz w:val="28"/>
              </w:rPr>
              <w:t>/</w:t>
            </w:r>
            <w:r>
              <w:rPr>
                <w:rFonts w:eastAsia="標楷體"/>
                <w:kern w:val="0"/>
                <w:sz w:val="28"/>
              </w:rPr>
              <w:t>政要之活動</w:t>
            </w:r>
          </w:p>
          <w:p w14:paraId="7E3BB3F2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</w:rPr>
              <w:t>與僑營或當地餐飲業者</w:t>
            </w:r>
            <w:r>
              <w:rPr>
                <w:rFonts w:eastAsia="標楷體"/>
                <w:kern w:val="0"/>
                <w:sz w:val="28"/>
              </w:rPr>
              <w:t>/</w:t>
            </w:r>
            <w:r>
              <w:rPr>
                <w:rFonts w:eastAsia="標楷體"/>
                <w:kern w:val="0"/>
                <w:sz w:val="28"/>
              </w:rPr>
              <w:t>餐旅學校機構交流、觀摩、合作</w:t>
            </w:r>
          </w:p>
          <w:p w14:paraId="53734BB7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  <w:szCs w:val="32"/>
              </w:rPr>
              <w:t>搭配辦理臺灣商品相關展示會</w:t>
            </w:r>
          </w:p>
          <w:p w14:paraId="092C8E9D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  <w:szCs w:val="32"/>
              </w:rPr>
              <w:t>結合本會文化訪問團展演等僑務活動或僑區大型活動</w:t>
            </w:r>
          </w:p>
          <w:p w14:paraId="0D67DC6E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  <w:szCs w:val="32"/>
              </w:rPr>
              <w:t>結合洲際性僑團大型年會活動</w:t>
            </w:r>
          </w:p>
          <w:p w14:paraId="64800EB2" w14:textId="77777777" w:rsidR="00D631B5" w:rsidRDefault="00000000">
            <w:pPr>
              <w:pStyle w:val="StandardWW"/>
              <w:spacing w:line="440" w:lineRule="exact"/>
              <w:ind w:left="286"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  <w:szCs w:val="32"/>
              </w:rPr>
              <w:t>□</w:t>
            </w:r>
            <w:r>
              <w:rPr>
                <w:rFonts w:eastAsia="標楷體"/>
                <w:kern w:val="0"/>
                <w:sz w:val="28"/>
                <w:szCs w:val="32"/>
              </w:rPr>
              <w:t>其他有助於推展臺灣美食至當地主流社會之活動規劃</w:t>
            </w:r>
          </w:p>
          <w:p w14:paraId="1FC0BF59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</w:rPr>
              <w:t>請儘可能詳述，俾利洽聘講師相關事宜</w:t>
            </w:r>
          </w:p>
        </w:tc>
      </w:tr>
      <w:tr w:rsidR="00D631B5" w14:paraId="2604CC1A" w14:textId="77777777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0252" w14:textId="77777777" w:rsidR="00D631B5" w:rsidRDefault="00000000">
            <w:pPr>
              <w:pStyle w:val="StandardWW"/>
              <w:ind w:left="120" w:right="120"/>
              <w:jc w:val="both"/>
            </w:pPr>
            <w:r>
              <w:rPr>
                <w:rFonts w:eastAsia="標楷體"/>
                <w:sz w:val="28"/>
              </w:rPr>
              <w:t>配合之當地主流社會或僑界活動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C067" w14:textId="77777777" w:rsidR="00D631B5" w:rsidRDefault="00D631B5">
            <w:pPr>
              <w:pStyle w:val="StandardWW"/>
              <w:spacing w:line="440" w:lineRule="exact"/>
              <w:ind w:right="226"/>
              <w:jc w:val="both"/>
              <w:rPr>
                <w:rFonts w:ascii="標楷體" w:eastAsia="標楷體" w:hAnsi="標楷體" w:cs="標楷體"/>
                <w:kern w:val="0"/>
                <w:sz w:val="28"/>
              </w:rPr>
            </w:pPr>
          </w:p>
          <w:p w14:paraId="7E532D98" w14:textId="77777777" w:rsidR="00D631B5" w:rsidRDefault="00D631B5">
            <w:pPr>
              <w:pStyle w:val="StandardWW"/>
              <w:spacing w:line="440" w:lineRule="exact"/>
              <w:ind w:right="226"/>
              <w:jc w:val="both"/>
              <w:rPr>
                <w:rFonts w:ascii="標楷體" w:eastAsia="標楷體" w:hAnsi="標楷體" w:cs="標楷體"/>
                <w:kern w:val="0"/>
                <w:sz w:val="28"/>
              </w:rPr>
            </w:pPr>
          </w:p>
          <w:p w14:paraId="58091BED" w14:textId="77777777" w:rsidR="00D631B5" w:rsidRDefault="00D631B5">
            <w:pPr>
              <w:pStyle w:val="StandardWW"/>
              <w:spacing w:line="440" w:lineRule="exact"/>
              <w:ind w:right="226"/>
              <w:jc w:val="both"/>
              <w:rPr>
                <w:rFonts w:ascii="標楷體" w:eastAsia="標楷體" w:hAnsi="標楷體" w:cs="標楷體"/>
                <w:kern w:val="0"/>
                <w:sz w:val="28"/>
              </w:rPr>
            </w:pPr>
          </w:p>
          <w:p w14:paraId="708128BD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</w:rPr>
              <w:t>多場活動請分點敘明</w:t>
            </w:r>
          </w:p>
        </w:tc>
      </w:tr>
      <w:tr w:rsidR="00D631B5" w14:paraId="7E79C2FD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DB96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28"/>
              </w:rPr>
              <w:t>參與對象</w:t>
            </w:r>
            <w:r>
              <w:rPr>
                <w:rFonts w:eastAsia="標楷體"/>
                <w:sz w:val="28"/>
              </w:rPr>
              <w:t>人數</w:t>
            </w:r>
          </w:p>
          <w:p w14:paraId="04F2D0AE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z w:val="28"/>
              </w:rPr>
              <w:t>及結構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45C0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僑胞人數：＿＿＿人、主流社會參與者人數：＿＿＿人，以上共計＿＿＿人。</w:t>
            </w:r>
          </w:p>
          <w:p w14:paraId="0D4CCCD7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主流貴賓名單：</w:t>
            </w:r>
            <w:r>
              <w:rPr>
                <w:rFonts w:eastAsia="標楷體"/>
                <w:color w:val="FF0000"/>
                <w:kern w:val="0"/>
                <w:sz w:val="28"/>
              </w:rPr>
              <w:t>（須含姓名及職銜）</w:t>
            </w:r>
          </w:p>
          <w:p w14:paraId="565B11C5" w14:textId="77777777" w:rsidR="00D631B5" w:rsidRDefault="00D631B5">
            <w:pPr>
              <w:pStyle w:val="StandardWW"/>
              <w:spacing w:line="440" w:lineRule="exact"/>
              <w:ind w:right="226"/>
              <w:jc w:val="both"/>
              <w:rPr>
                <w:rFonts w:eastAsia="標楷體"/>
                <w:color w:val="FF0000"/>
                <w:kern w:val="0"/>
                <w:sz w:val="28"/>
              </w:rPr>
            </w:pPr>
          </w:p>
          <w:p w14:paraId="7EC59F35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</w:rPr>
              <w:t>多場活動請分點敘明</w:t>
            </w:r>
          </w:p>
        </w:tc>
      </w:tr>
      <w:tr w:rsidR="00D631B5" w14:paraId="4D0F8BDD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652A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28"/>
              </w:rPr>
              <w:lastRenderedPageBreak/>
              <w:t>活動場地及</w:t>
            </w:r>
          </w:p>
          <w:p w14:paraId="7B47BC78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28"/>
              </w:rPr>
              <w:t>設備概況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3AFD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1.□</w:t>
            </w:r>
            <w:r>
              <w:rPr>
                <w:rFonts w:eastAsia="標楷體"/>
                <w:kern w:val="0"/>
                <w:sz w:val="28"/>
              </w:rPr>
              <w:t>室內</w:t>
            </w:r>
            <w: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</w:rPr>
              <w:t>戶外；</w:t>
            </w:r>
            <w:r>
              <w:rPr>
                <w:rFonts w:eastAsia="標楷體"/>
                <w:kern w:val="0"/>
                <w:sz w:val="28"/>
              </w:rPr>
              <w:t>2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.□一般場地</w:t>
            </w:r>
            <w: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□專業場地□其他</w:t>
            </w:r>
          </w:p>
          <w:p w14:paraId="11E1A4E6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kern w:val="0"/>
                <w:sz w:val="28"/>
              </w:rPr>
              <w:t>3.</w:t>
            </w:r>
            <w:r>
              <w:rPr>
                <w:rFonts w:ascii="標楷體" w:eastAsia="標楷體" w:hAnsi="標楷體" w:cs="標楷體"/>
                <w:spacing w:val="60"/>
                <w:sz w:val="28"/>
              </w:rPr>
              <w:t>相關設備: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＿＿＿</w:t>
            </w:r>
            <w:r>
              <w:rPr>
                <w:rFonts w:ascii="標楷體" w:eastAsia="標楷體" w:hAnsi="標楷體" w:cs="標楷體"/>
                <w:spacing w:val="60"/>
                <w:sz w:val="28"/>
              </w:rPr>
              <w:t>（如營業炒鍋、快速爐等）</w:t>
            </w:r>
          </w:p>
          <w:p w14:paraId="187FCCBF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color w:val="FF0000"/>
                <w:kern w:val="0"/>
                <w:sz w:val="28"/>
              </w:rPr>
              <w:t>（請附場地及設備照片）</w:t>
            </w:r>
          </w:p>
          <w:p w14:paraId="79DE6FE9" w14:textId="77777777" w:rsidR="00D631B5" w:rsidRDefault="00D631B5">
            <w:pPr>
              <w:pStyle w:val="StandardWW"/>
              <w:spacing w:line="440" w:lineRule="exact"/>
              <w:ind w:right="226"/>
              <w:jc w:val="both"/>
              <w:rPr>
                <w:rFonts w:eastAsia="標楷體"/>
                <w:color w:val="0000FF"/>
                <w:szCs w:val="18"/>
              </w:rPr>
            </w:pPr>
          </w:p>
          <w:p w14:paraId="65782425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</w:rPr>
              <w:t>多場活動請分點敘明；本項目將由巡迴講師實地勾稽確認辦理情形</w:t>
            </w:r>
          </w:p>
        </w:tc>
      </w:tr>
      <w:tr w:rsidR="00D631B5" w14:paraId="3C92EDFE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70C1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28"/>
              </w:rPr>
              <w:t>宣傳計畫</w:t>
            </w:r>
          </w:p>
          <w:p w14:paraId="7C738349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kern w:val="0"/>
                <w:sz w:val="28"/>
              </w:rPr>
              <w:t>（可複選）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8C4A" w14:textId="77777777" w:rsidR="00D631B5" w:rsidRDefault="00000000">
            <w:pPr>
              <w:pStyle w:val="StandardWW"/>
              <w:spacing w:line="440" w:lineRule="exact"/>
              <w:ind w:right="226"/>
              <w:jc w:val="both"/>
            </w:pPr>
            <w:r>
              <w:rPr>
                <w:rFonts w:ascii="標楷體" w:eastAsia="標楷體" w:hAnsi="標楷體" w:cs="標楷體"/>
                <w:kern w:val="0"/>
                <w:sz w:val="28"/>
              </w:rPr>
              <w:t>□</w:t>
            </w:r>
            <w:r>
              <w:rPr>
                <w:rFonts w:eastAsia="標楷體"/>
                <w:kern w:val="0"/>
                <w:sz w:val="28"/>
              </w:rPr>
              <w:t>召開記者會</w:t>
            </w:r>
            <w: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□安排電子（平面）媒體採訪□</w:t>
            </w:r>
            <w:r>
              <w:rPr>
                <w:rFonts w:eastAsia="標楷體"/>
                <w:kern w:val="0"/>
                <w:sz w:val="28"/>
              </w:rPr>
              <w:t>刊登（托播）廣告</w:t>
            </w:r>
            <w: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</w:rPr>
              <w:t>□其他</w:t>
            </w:r>
          </w:p>
        </w:tc>
      </w:tr>
      <w:tr w:rsidR="00D631B5" w14:paraId="52E30D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75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ED88" w14:textId="77777777" w:rsidR="00D631B5" w:rsidRDefault="00000000">
            <w:pPr>
              <w:pStyle w:val="StandardWW"/>
              <w:ind w:left="120" w:right="120"/>
              <w:jc w:val="center"/>
            </w:pPr>
            <w:r>
              <w:rPr>
                <w:rFonts w:eastAsia="標楷體"/>
                <w:sz w:val="28"/>
              </w:rPr>
              <w:t>輔導單位總評估</w:t>
            </w:r>
          </w:p>
        </w:tc>
        <w:tc>
          <w:tcPr>
            <w:tcW w:w="8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6673" w14:textId="77777777" w:rsidR="00D631B5" w:rsidRDefault="00000000">
            <w:pPr>
              <w:pStyle w:val="StandardWW"/>
              <w:ind w:left="511" w:hanging="381"/>
              <w:jc w:val="both"/>
            </w:pPr>
            <w:r>
              <w:rPr>
                <w:rFonts w:ascii="標楷體" w:eastAsia="標楷體" w:hAnsi="標楷體" w:cs="標楷體"/>
                <w:spacing w:val="60"/>
                <w:sz w:val="28"/>
              </w:rPr>
              <w:t>□已確認該辦理僑團具辦理本案活動之意願及能量，並可依活動規劃安排場地及相關軟硬體設備（如營業炒鍋、快速爐等）。</w:t>
            </w:r>
          </w:p>
          <w:p w14:paraId="44184748" w14:textId="77777777" w:rsidR="00D631B5" w:rsidRDefault="00D631B5">
            <w:pPr>
              <w:pStyle w:val="StandardWW"/>
              <w:ind w:left="511" w:hanging="381"/>
              <w:jc w:val="both"/>
              <w:rPr>
                <w:rFonts w:ascii="標楷體" w:eastAsia="標楷體" w:hAnsi="標楷體" w:cs="標楷體"/>
                <w:spacing w:val="60"/>
                <w:sz w:val="28"/>
              </w:rPr>
            </w:pPr>
          </w:p>
          <w:p w14:paraId="72737882" w14:textId="77777777" w:rsidR="00D631B5" w:rsidRDefault="00000000">
            <w:pPr>
              <w:pStyle w:val="StandardWW"/>
              <w:ind w:left="185" w:hanging="130"/>
              <w:jc w:val="both"/>
            </w:pPr>
            <w:r>
              <w:rPr>
                <w:rFonts w:eastAsia="標楷體"/>
                <w:color w:val="0000FF"/>
                <w:szCs w:val="18"/>
              </w:rPr>
              <w:t>*</w:t>
            </w:r>
            <w:r>
              <w:rPr>
                <w:rFonts w:eastAsia="標楷體"/>
                <w:color w:val="0000FF"/>
                <w:szCs w:val="18"/>
              </w:rPr>
              <w:t>請就辦理僑團有無完整接待計畫、可否洽得適切之活動場地、事前宣傳作業及經費自籌能力等情形加以評估說明</w:t>
            </w:r>
          </w:p>
        </w:tc>
      </w:tr>
    </w:tbl>
    <w:p w14:paraId="6B987E47" w14:textId="77777777" w:rsidR="00D631B5" w:rsidRDefault="00000000">
      <w:pPr>
        <w:pStyle w:val="Standard"/>
        <w:rPr>
          <w:rFonts w:hint="eastAsia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※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備註：</w:t>
      </w:r>
    </w:p>
    <w:p w14:paraId="54314834" w14:textId="77777777" w:rsidR="00D631B5" w:rsidRDefault="00000000">
      <w:pPr>
        <w:pStyle w:val="Standard"/>
        <w:ind w:left="440" w:hanging="440"/>
        <w:rPr>
          <w:rFonts w:hint="eastAsia"/>
        </w:rPr>
      </w:pP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本表各欄請確實繕打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1ABC7A3" w14:textId="77777777" w:rsidR="00D631B5" w:rsidRDefault="00000000">
      <w:pPr>
        <w:pStyle w:val="Standard"/>
        <w:ind w:left="440" w:hanging="440"/>
        <w:rPr>
          <w:rFonts w:hint="eastAsia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、本表填妥後請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交由輔導單位</w:t>
      </w:r>
      <w:r>
        <w:rPr>
          <w:rFonts w:ascii="Times New Roman" w:eastAsia="標楷體" w:hAnsi="Times New Roman" w:cs="Times New Roman"/>
          <w:sz w:val="28"/>
          <w:szCs w:val="28"/>
        </w:rPr>
        <w:t>彙送各路線統籌單位及本會憑辦。</w:t>
      </w:r>
    </w:p>
    <w:sectPr w:rsidR="00D631B5">
      <w:footerReference w:type="default" r:id="rId7"/>
      <w:pgSz w:w="11906" w:h="16838"/>
      <w:pgMar w:top="851" w:right="1077" w:bottom="7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8AD" w14:textId="77777777" w:rsidR="008B2D82" w:rsidRDefault="008B2D82">
      <w:pPr>
        <w:rPr>
          <w:rFonts w:hint="eastAsia"/>
        </w:rPr>
      </w:pPr>
      <w:r>
        <w:separator/>
      </w:r>
    </w:p>
  </w:endnote>
  <w:endnote w:type="continuationSeparator" w:id="0">
    <w:p w14:paraId="097F3DB5" w14:textId="77777777" w:rsidR="008B2D82" w:rsidRDefault="008B2D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, 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7F82" w14:textId="77777777" w:rsidR="00000000" w:rsidRDefault="00000000">
    <w:pPr>
      <w:pStyle w:val="a6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32BE" w14:textId="77777777" w:rsidR="008B2D82" w:rsidRDefault="008B2D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EE7628" w14:textId="77777777" w:rsidR="008B2D82" w:rsidRDefault="008B2D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067"/>
    <w:multiLevelType w:val="multilevel"/>
    <w:tmpl w:val="33BC0A6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2E6D17"/>
    <w:multiLevelType w:val="multilevel"/>
    <w:tmpl w:val="B7BAEB90"/>
    <w:styleLink w:val="WWNum5"/>
    <w:lvl w:ilvl="0">
      <w:numFmt w:val="bullet"/>
      <w:lvlText w:val="□"/>
      <w:lvlJc w:val="left"/>
      <w:pPr>
        <w:ind w:left="660" w:hanging="6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abstractNum w:abstractNumId="2" w15:restartNumberingAfterBreak="0">
    <w:nsid w:val="18650EA3"/>
    <w:multiLevelType w:val="multilevel"/>
    <w:tmpl w:val="52529E9E"/>
    <w:styleLink w:val="WWNum3"/>
    <w:lvl w:ilvl="0">
      <w:numFmt w:val="bullet"/>
      <w:lvlText w:val="□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abstractNum w:abstractNumId="3" w15:restartNumberingAfterBreak="0">
    <w:nsid w:val="1D79729D"/>
    <w:multiLevelType w:val="multilevel"/>
    <w:tmpl w:val="993AF48A"/>
    <w:styleLink w:val="WWNum4"/>
    <w:lvl w:ilvl="0">
      <w:start w:val="1"/>
      <w:numFmt w:val="decimal"/>
      <w:lvlText w:val="%1."/>
      <w:lvlJc w:val="left"/>
      <w:pPr>
        <w:ind w:left="420" w:hanging="420"/>
      </w:pPr>
      <w:rPr>
        <w:sz w:val="3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3C856DCD"/>
    <w:multiLevelType w:val="multilevel"/>
    <w:tmpl w:val="51DE417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1C178B"/>
    <w:multiLevelType w:val="multilevel"/>
    <w:tmpl w:val="C56A14A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411F74"/>
    <w:multiLevelType w:val="multilevel"/>
    <w:tmpl w:val="DB9A4CB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D363B2"/>
    <w:multiLevelType w:val="multilevel"/>
    <w:tmpl w:val="CEFA064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9537B40"/>
    <w:multiLevelType w:val="multilevel"/>
    <w:tmpl w:val="4EBE685E"/>
    <w:styleLink w:val="WWNum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1.%2、"/>
      <w:lvlJc w:val="left"/>
      <w:pPr>
        <w:ind w:left="1200" w:hanging="720"/>
      </w:pPr>
    </w:lvl>
    <w:lvl w:ilvl="2">
      <w:start w:val="1"/>
      <w:numFmt w:val="japaneseCounting"/>
      <w:lvlText w:val="（%1.%2.%3）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1995" w:hanging="555"/>
      </w:pPr>
    </w:lvl>
    <w:lvl w:ilvl="4">
      <w:start w:val="1"/>
      <w:numFmt w:val="decimal"/>
      <w:lvlText w:val="（%1.%2.%3.%4.%5）"/>
      <w:lvlJc w:val="left"/>
      <w:pPr>
        <w:ind w:left="3000" w:hanging="10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DC464B3"/>
    <w:multiLevelType w:val="multilevel"/>
    <w:tmpl w:val="027CA5A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5A3756C"/>
    <w:multiLevelType w:val="multilevel"/>
    <w:tmpl w:val="DDDE318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AD1346"/>
    <w:multiLevelType w:val="multilevel"/>
    <w:tmpl w:val="242031C4"/>
    <w:styleLink w:val="WWNum6"/>
    <w:lvl w:ilvl="0">
      <w:numFmt w:val="bullet"/>
      <w:lvlText w:val="□"/>
      <w:lvlJc w:val="left"/>
      <w:pPr>
        <w:ind w:left="1980" w:hanging="198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abstractNum w:abstractNumId="12" w15:restartNumberingAfterBreak="0">
    <w:nsid w:val="7E4C06F7"/>
    <w:multiLevelType w:val="multilevel"/>
    <w:tmpl w:val="D4B015CC"/>
    <w:styleLink w:val="WWNum1"/>
    <w:lvl w:ilvl="0">
      <w:numFmt w:val="bullet"/>
      <w:lvlText w:val="□"/>
      <w:lvlJc w:val="left"/>
      <w:pPr>
        <w:ind w:left="360" w:hanging="360"/>
      </w:pPr>
      <w:rPr>
        <w:rFonts w:eastAsia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cs="Wingdings"/>
      </w:rPr>
    </w:lvl>
    <w:lvl w:ilvl="2">
      <w:numFmt w:val="bullet"/>
      <w:lvlText w:val=""/>
      <w:lvlJc w:val="left"/>
      <w:pPr>
        <w:ind w:left="1440" w:hanging="480"/>
      </w:pPr>
      <w:rPr>
        <w:rFonts w:cs="Wingdings"/>
      </w:rPr>
    </w:lvl>
    <w:lvl w:ilvl="3">
      <w:numFmt w:val="bullet"/>
      <w:lvlText w:val=""/>
      <w:lvlJc w:val="left"/>
      <w:pPr>
        <w:ind w:left="1920" w:hanging="480"/>
      </w:pPr>
      <w:rPr>
        <w:rFonts w:cs="Wingdings"/>
      </w:rPr>
    </w:lvl>
    <w:lvl w:ilvl="4">
      <w:numFmt w:val="bullet"/>
      <w:lvlText w:val=""/>
      <w:lvlJc w:val="left"/>
      <w:pPr>
        <w:ind w:left="2400" w:hanging="480"/>
      </w:pPr>
      <w:rPr>
        <w:rFonts w:cs="Wingdings"/>
      </w:rPr>
    </w:lvl>
    <w:lvl w:ilvl="5">
      <w:numFmt w:val="bullet"/>
      <w:lvlText w:val=""/>
      <w:lvlJc w:val="left"/>
      <w:pPr>
        <w:ind w:left="2880" w:hanging="480"/>
      </w:pPr>
      <w:rPr>
        <w:rFonts w:cs="Wingdings"/>
      </w:rPr>
    </w:lvl>
    <w:lvl w:ilvl="6">
      <w:numFmt w:val="bullet"/>
      <w:lvlText w:val=""/>
      <w:lvlJc w:val="left"/>
      <w:pPr>
        <w:ind w:left="3360" w:hanging="480"/>
      </w:pPr>
      <w:rPr>
        <w:rFonts w:cs="Wingdings"/>
      </w:rPr>
    </w:lvl>
    <w:lvl w:ilvl="7">
      <w:numFmt w:val="bullet"/>
      <w:lvlText w:val=""/>
      <w:lvlJc w:val="left"/>
      <w:pPr>
        <w:ind w:left="3840" w:hanging="480"/>
      </w:pPr>
      <w:rPr>
        <w:rFonts w:cs="Wingdings"/>
      </w:rPr>
    </w:lvl>
    <w:lvl w:ilvl="8">
      <w:numFmt w:val="bullet"/>
      <w:lvlText w:val=""/>
      <w:lvlJc w:val="left"/>
      <w:pPr>
        <w:ind w:left="4320" w:hanging="480"/>
      </w:pPr>
      <w:rPr>
        <w:rFonts w:cs="Wingdings"/>
      </w:rPr>
    </w:lvl>
  </w:abstractNum>
  <w:num w:numId="1" w16cid:durableId="1317219933">
    <w:abstractNumId w:val="9"/>
  </w:num>
  <w:num w:numId="2" w16cid:durableId="1541286485">
    <w:abstractNumId w:val="10"/>
  </w:num>
  <w:num w:numId="3" w16cid:durableId="174882319">
    <w:abstractNumId w:val="4"/>
  </w:num>
  <w:num w:numId="4" w16cid:durableId="896550567">
    <w:abstractNumId w:val="6"/>
  </w:num>
  <w:num w:numId="5" w16cid:durableId="653341355">
    <w:abstractNumId w:val="5"/>
  </w:num>
  <w:num w:numId="6" w16cid:durableId="1666320566">
    <w:abstractNumId w:val="0"/>
  </w:num>
  <w:num w:numId="7" w16cid:durableId="1976644774">
    <w:abstractNumId w:val="7"/>
  </w:num>
  <w:num w:numId="8" w16cid:durableId="1523669386">
    <w:abstractNumId w:val="12"/>
  </w:num>
  <w:num w:numId="9" w16cid:durableId="959192779">
    <w:abstractNumId w:val="8"/>
  </w:num>
  <w:num w:numId="10" w16cid:durableId="1440836782">
    <w:abstractNumId w:val="2"/>
  </w:num>
  <w:num w:numId="11" w16cid:durableId="162744585">
    <w:abstractNumId w:val="3"/>
  </w:num>
  <w:num w:numId="12" w16cid:durableId="1439639003">
    <w:abstractNumId w:val="1"/>
  </w:num>
  <w:num w:numId="13" w16cid:durableId="1257322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31B5"/>
    <w:rsid w:val="008547E1"/>
    <w:rsid w:val="008B2D82"/>
    <w:rsid w:val="009A0451"/>
    <w:rsid w:val="00D6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A561F"/>
  <w15:docId w15:val="{635A1F84-217B-4BF1-B775-7834B1D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WW"/>
    <w:next w:val="StandardWW"/>
    <w:uiPriority w:val="9"/>
    <w:semiHidden/>
    <w:unhideWhenUsed/>
    <w:qFormat/>
    <w:pPr>
      <w:keepNext/>
      <w:jc w:val="center"/>
      <w:outlineLvl w:val="1"/>
    </w:pPr>
    <w:rPr>
      <w:rFonts w:eastAsia="標楷體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cs="Arial Unicode MS"/>
    </w:rPr>
  </w:style>
  <w:style w:type="paragraph" w:styleId="a4">
    <w:name w:val="caption"/>
    <w:basedOn w:val="StandardWW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WW"/>
    <w:pPr>
      <w:suppressLineNumbers/>
    </w:pPr>
    <w:rPr>
      <w:rFonts w:cs="Arial Unicode MS"/>
    </w:rPr>
  </w:style>
  <w:style w:type="paragraph" w:customStyle="1" w:styleId="StandardWW">
    <w:name w:val="Standard (WW)"/>
    <w:rPr>
      <w:rFonts w:ascii="Times New Roman" w:eastAsia="華康楷書體W5, " w:hAnsi="Times New Roman" w:cs="Times New Roman"/>
      <w:szCs w:val="20"/>
      <w:lang w:bidi="ar-SA"/>
    </w:r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TextbodyindentWW">
    <w:name w:val="Text body indent (WW)"/>
    <w:basedOn w:val="StandardWW"/>
    <w:pPr>
      <w:spacing w:line="320" w:lineRule="exact"/>
      <w:ind w:left="1081" w:hanging="1081"/>
    </w:pPr>
    <w:rPr>
      <w:rFonts w:eastAsia="標楷體"/>
      <w:b/>
      <w:bCs/>
      <w:sz w:val="36"/>
      <w:szCs w:val="24"/>
    </w:rPr>
  </w:style>
  <w:style w:type="paragraph" w:customStyle="1" w:styleId="HeaderandFooter">
    <w:name w:val="Header and Footer"/>
    <w:basedOn w:val="StandardWW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WW"/>
    <w:pPr>
      <w:snapToGrid w:val="0"/>
    </w:pPr>
    <w:rPr>
      <w:sz w:val="20"/>
    </w:rPr>
  </w:style>
  <w:style w:type="paragraph" w:styleId="a6">
    <w:name w:val="footer"/>
    <w:basedOn w:val="StandardWW"/>
    <w:pPr>
      <w:snapToGrid w:val="0"/>
    </w:pPr>
    <w:rPr>
      <w:sz w:val="20"/>
    </w:rPr>
  </w:style>
  <w:style w:type="paragraph" w:customStyle="1" w:styleId="Framecontents">
    <w:name w:val="Frame contents"/>
    <w:basedOn w:val="StandardWW"/>
  </w:style>
  <w:style w:type="paragraph" w:customStyle="1" w:styleId="TableContents">
    <w:name w:val="Table Contents"/>
    <w:basedOn w:val="StandardWW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sz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a7">
    <w:name w:val="頁首 字元"/>
    <w:basedOn w:val="DefaultParagraphFontWW"/>
    <w:rPr>
      <w:rFonts w:eastAsia="華康楷書體W5, "/>
      <w:kern w:val="3"/>
    </w:rPr>
  </w:style>
  <w:style w:type="character" w:customStyle="1" w:styleId="a8">
    <w:name w:val="頁尾 字元"/>
    <w:basedOn w:val="DefaultParagraphFontWW"/>
    <w:rPr>
      <w:rFonts w:eastAsia="華康楷書體W5, "/>
      <w:kern w:val="3"/>
    </w:rPr>
  </w:style>
  <w:style w:type="character" w:customStyle="1" w:styleId="Internetlink">
    <w:name w:val="Internet link"/>
    <w:basedOn w:val="DefaultParagraphFontWW"/>
    <w:rPr>
      <w:color w:val="0563C1"/>
      <w:u w:val="single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標楷體" w:cs="Times New Roman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sz w:val="32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標楷體" w:cs="Times New Roman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eastAsia="標楷體" w:cs="Times New Roman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Wingdings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WWNum5">
    <w:name w:val="WWNum5"/>
    <w:basedOn w:val="a2"/>
    <w:pPr>
      <w:numPr>
        <w:numId w:val="12"/>
      </w:numPr>
    </w:pPr>
  </w:style>
  <w:style w:type="numbering" w:customStyle="1" w:styleId="WWNum6">
    <w:name w:val="WWNum6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     )華僑文教服務中心辦理89年度志工案成果表</dc:title>
  <dc:creator>user</dc:creator>
  <cp:lastModifiedBy>委員會 僑務</cp:lastModifiedBy>
  <cp:revision>2</cp:revision>
  <dcterms:created xsi:type="dcterms:W3CDTF">2025-12-31T10:06:00Z</dcterms:created>
  <dcterms:modified xsi:type="dcterms:W3CDTF">2025-12-31T10:06:00Z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